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E1" w:rsidRDefault="007508E1" w:rsidP="007508E1">
      <w:pPr>
        <w:spacing w:after="0"/>
        <w:rPr>
          <w:rFonts w:ascii="TH SarabunIT๙" w:eastAsia="Calibri" w:hAnsi="TH SarabunIT๙" w:cs="TH SarabunIT๙"/>
          <w:b/>
          <w:bCs/>
          <w:sz w:val="100"/>
          <w:szCs w:val="100"/>
        </w:rPr>
      </w:pPr>
      <w:r>
        <w:rPr>
          <w:rFonts w:ascii="TH SarabunIT๙" w:eastAsia="Calibri" w:hAnsi="TH SarabunIT๙" w:cs="TH SarabunIT๙"/>
          <w:b/>
          <w:bCs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548F86A3" wp14:editId="212D0757">
            <wp:simplePos x="0" y="0"/>
            <wp:positionH relativeFrom="column">
              <wp:posOffset>1527676</wp:posOffset>
            </wp:positionH>
            <wp:positionV relativeFrom="paragraph">
              <wp:posOffset>-1307</wp:posOffset>
            </wp:positionV>
            <wp:extent cx="3446060" cy="2716300"/>
            <wp:effectExtent l="0" t="0" r="2540" b="8255"/>
            <wp:wrapNone/>
            <wp:docPr id="1" name="รูปภาพ 1" descr="ตราเทศบาลสวนผึ้งC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เทศบาลสวนผึ้งC-Mo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60" cy="271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E1" w:rsidRDefault="007508E1" w:rsidP="002D58D6">
      <w:pPr>
        <w:spacing w:after="0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7508E1" w:rsidRDefault="007508E1" w:rsidP="007508E1">
      <w:pPr>
        <w:spacing w:after="0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7508E1" w:rsidRDefault="007508E1" w:rsidP="007508E1">
      <w:pPr>
        <w:spacing w:after="0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508E1" w:rsidRPr="007508E1" w:rsidRDefault="007508E1" w:rsidP="007508E1">
      <w:pPr>
        <w:spacing w:after="0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7508E1" w:rsidRPr="002D58D6" w:rsidRDefault="002D58D6" w:rsidP="007508E1">
      <w:pPr>
        <w:spacing w:after="0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  <w:r w:rsidRPr="002D58D6">
        <w:rPr>
          <w:rFonts w:ascii="TH SarabunIT๙" w:eastAsia="Calibri" w:hAnsi="TH SarabunIT๙" w:cs="TH SarabunIT๙"/>
          <w:b/>
          <w:bCs/>
          <w:sz w:val="100"/>
          <w:szCs w:val="100"/>
          <w:cs/>
        </w:rPr>
        <w:t>แผนปฏิบัติการป้องกันการทุจริต</w:t>
      </w:r>
    </w:p>
    <w:p w:rsidR="002D58D6" w:rsidRDefault="007508E1" w:rsidP="002D58D6">
      <w:pPr>
        <w:spacing w:after="0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  <w:r w:rsidRPr="002D58D6">
        <w:rPr>
          <w:rFonts w:ascii="TH SarabunIT๙" w:eastAsia="Calibri" w:hAnsi="TH SarabunIT๙" w:cs="TH SarabunIT๙" w:hint="cs"/>
          <w:b/>
          <w:bCs/>
          <w:sz w:val="100"/>
          <w:szCs w:val="100"/>
          <w:cs/>
        </w:rPr>
        <w:t xml:space="preserve"> </w:t>
      </w:r>
      <w:r w:rsidR="002D58D6" w:rsidRPr="002D58D6">
        <w:rPr>
          <w:rFonts w:ascii="TH SarabunIT๙" w:eastAsia="Calibri" w:hAnsi="TH SarabunIT๙" w:cs="TH SarabunIT๙" w:hint="cs"/>
          <w:b/>
          <w:bCs/>
          <w:sz w:val="100"/>
          <w:szCs w:val="100"/>
          <w:cs/>
        </w:rPr>
        <w:t xml:space="preserve">(พ.ศ. 2562 </w:t>
      </w:r>
      <w:r w:rsidR="002D58D6" w:rsidRPr="002D58D6">
        <w:rPr>
          <w:rFonts w:ascii="TH SarabunIT๙" w:eastAsia="Calibri" w:hAnsi="TH SarabunIT๙" w:cs="TH SarabunIT๙"/>
          <w:b/>
          <w:bCs/>
          <w:sz w:val="100"/>
          <w:szCs w:val="100"/>
          <w:cs/>
        </w:rPr>
        <w:t>–</w:t>
      </w:r>
      <w:r w:rsidR="002D58D6" w:rsidRPr="002D58D6">
        <w:rPr>
          <w:rFonts w:ascii="TH SarabunIT๙" w:eastAsia="Calibri" w:hAnsi="TH SarabunIT๙" w:cs="TH SarabunIT๙" w:hint="cs"/>
          <w:b/>
          <w:bCs/>
          <w:sz w:val="100"/>
          <w:szCs w:val="100"/>
          <w:cs/>
        </w:rPr>
        <w:t xml:space="preserve"> 2564)</w:t>
      </w:r>
    </w:p>
    <w:p w:rsidR="007508E1" w:rsidRDefault="007508E1" w:rsidP="002D58D6">
      <w:pPr>
        <w:spacing w:after="0"/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7508E1" w:rsidRPr="002D58D6" w:rsidRDefault="007508E1" w:rsidP="002D58D6">
      <w:pPr>
        <w:spacing w:after="0"/>
        <w:jc w:val="center"/>
        <w:rPr>
          <w:rFonts w:ascii="TH SarabunIT๙" w:eastAsia="Calibri" w:hAnsi="TH SarabunIT๙" w:cs="TH SarabunIT๙"/>
          <w:b/>
          <w:bCs/>
          <w:sz w:val="96"/>
          <w:szCs w:val="96"/>
          <w:cs/>
        </w:rPr>
      </w:pPr>
    </w:p>
    <w:p w:rsidR="007508E1" w:rsidRDefault="007508E1" w:rsidP="007508E1">
      <w:pPr>
        <w:spacing w:after="0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  <w:r>
        <w:rPr>
          <w:rFonts w:ascii="TH SarabunIT๙" w:eastAsia="Calibri" w:hAnsi="TH SarabunIT๙" w:cs="TH SarabunIT๙" w:hint="cs"/>
          <w:b/>
          <w:bCs/>
          <w:sz w:val="100"/>
          <w:szCs w:val="100"/>
          <w:cs/>
        </w:rPr>
        <w:t>เทศบาลตำบลสวนผึ้ง</w:t>
      </w:r>
    </w:p>
    <w:p w:rsidR="002D58D6" w:rsidRPr="002D58D6" w:rsidRDefault="007508E1" w:rsidP="002D58D6">
      <w:pPr>
        <w:spacing w:after="0"/>
        <w:jc w:val="center"/>
        <w:rPr>
          <w:rFonts w:ascii="TH SarabunIT๙" w:eastAsia="Calibri" w:hAnsi="TH SarabunIT๙" w:cs="TH SarabunIT๙"/>
          <w:b/>
          <w:bCs/>
          <w:sz w:val="92"/>
          <w:szCs w:val="92"/>
        </w:rPr>
      </w:pPr>
      <w:r>
        <w:rPr>
          <w:rFonts w:ascii="TH SarabunIT๙" w:eastAsia="Calibri" w:hAnsi="TH SarabunIT๙" w:cs="TH SarabunIT๙" w:hint="cs"/>
          <w:b/>
          <w:bCs/>
          <w:sz w:val="92"/>
          <w:szCs w:val="92"/>
          <w:cs/>
        </w:rPr>
        <w:t>อำเภอสวนผึ้ง   จังหวัดราชบุรี</w:t>
      </w: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7508E1" w:rsidRPr="002D58D6" w:rsidRDefault="007508E1" w:rsidP="00DF6B8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2D58D6"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2D58D6" w:rsidRPr="002D58D6" w:rsidRDefault="002D58D6" w:rsidP="002D58D6">
      <w:pPr>
        <w:spacing w:before="36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58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  และฉุดรั้งความเจริญก้าวหน้า           การพัฒนาศักยภาพ  และขีดความสามารถในการแข่งขันของประเทศ ซึ่งในปัจจุบันได้ทวีความรุนแรงขึ้น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ระบบการเมืองการปกครอง และการบริหารราชการเป็นอย่างมาก การแก้ปัญหาการทุจริตจึงเป็นสิ่งสำคัญ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ที่หน่วยงานในภาครัฐ 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  เพื่อร่วมกันพัฒนาปรับปรุงระบบการบริหารจัดการ และการพัฒนาคนควบคู่ไปพร้อม ๆ กัน โดยการปลูกฝังความซื่อสัตย์สุจริต รับผิดชอบ ประกอบกับคณะรักษาความสงบแห่งชาติ หรือ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คสช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ได้มีคำสั่งที่ 69/2557 เรื่อง มาตรการป้องกัน และแก้ไขปัญหาการทุจริตและประพฤติมิชอบโดยทุกส่วนราชการและหน่วยงานภาครัฐ กำหนดมาตรการ หรือแนวทางแก้ไขปัญหาการทุจริตประพฤติมิชอบโดยมุ่งเน้นการสร้าง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ในการบริหารงาน และส่งเสริมการมีส่วนร่วมจากทุกส่วนในการตรวจสอบ เฝ้าระวัง เพื่อสกัดกั้นมิให้เกิด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การทุจริตได้ เพื่อให้การดำเนินการดังกล่าวบรรลุผลไอย่างเป็นรูปธรรม องค์ก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รปกครองส่วนท้องถิ่น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จึงได้จัดปรับปรุงแผนปฏิบัติการป้องกันการทุจริต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(พ.ศ.2562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2564)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ภายใต้ยุทธศาสตร์ชาติว่าด้วยการป้องกันและปราบปรามการทุจริต ระยะที่ 3 (พ.ศ.2560 -2564) ขึ้น</w:t>
      </w:r>
    </w:p>
    <w:p w:rsidR="002D58D6" w:rsidRPr="002D58D6" w:rsidRDefault="002D58D6" w:rsidP="002D58D6">
      <w:pPr>
        <w:spacing w:before="36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58D6" w:rsidRPr="002D58D6" w:rsidRDefault="002D58D6" w:rsidP="002D58D6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Default="00DF6B8B" w:rsidP="00DF6B8B">
      <w:pPr>
        <w:spacing w:after="0" w:line="240" w:lineRule="auto"/>
        <w:ind w:left="5041" w:firstLine="720"/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 w:hint="cs"/>
          <w:cs/>
        </w:rPr>
        <w:t xml:space="preserve">เทศบาลตำบลสวนผึ้ง </w:t>
      </w:r>
    </w:p>
    <w:p w:rsidR="00DF6B8B" w:rsidRPr="002D58D6" w:rsidRDefault="00DF6B8B" w:rsidP="00DF6B8B">
      <w:pPr>
        <w:spacing w:after="0" w:line="240" w:lineRule="auto"/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 w:hint="cs"/>
          <w:cs/>
        </w:rPr>
        <w:t xml:space="preserve">                                                                                                           อำเภอสวนผึ้ง   จังหวัดราชบุรี</w:t>
      </w: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Pr="002D58D6" w:rsidRDefault="002D58D6" w:rsidP="002D58D6">
      <w:pPr>
        <w:rPr>
          <w:rFonts w:ascii="Calibri" w:eastAsia="Calibri" w:hAnsi="Calibri" w:cs="Cordia New"/>
        </w:rPr>
      </w:pPr>
    </w:p>
    <w:p w:rsidR="002D58D6" w:rsidRPr="002D58D6" w:rsidRDefault="002D58D6" w:rsidP="002D58D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40"/>
          <w:szCs w:val="40"/>
        </w:rPr>
      </w:pPr>
      <w:r w:rsidRPr="002D58D6">
        <w:rPr>
          <w:rFonts w:ascii="TH SarabunIT๙" w:eastAsia="Calibri" w:hAnsi="TH SarabunIT๙" w:cs="TH SarabunIT๙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1.1.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1.2. หลักการและเหตุผล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1.3. วัตถุประสงค์ของการจัดทำแผน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1.4. เป้าหมาย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1.5. ประโยชน์ของการจัดทำแผน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C5733A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</w:p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10"/>
                <w:szCs w:val="10"/>
              </w:rPr>
            </w:pP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ส่วนที่ ๒   แผนปฏิบัติการป้องกันการทุจริต ๓ ปี (พ.ศ.๒๕๖๒ </w:t>
            </w:r>
            <w:r w:rsidRPr="002D58D6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2D58D6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๒๕๖๔)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มิติที่ ๑ การสร้างสังคมที่ไม่ทนต่อการทุจริต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มิติที่ ๒ การบริหารราชการเพื่อป้องกันการทุจริต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C5733A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1๑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มิติที่ ๓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C5733A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1๓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มิติที่ ๔ การเสริมสร้างและปรับปรุงกลไกในการตรวจสอบการปฏิบัติราชการ</w:t>
            </w:r>
          </w:p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 w:firstLine="709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10"/>
                <w:szCs w:val="10"/>
                <w:cs/>
              </w:rPr>
            </w:pPr>
          </w:p>
        </w:tc>
        <w:tc>
          <w:tcPr>
            <w:tcW w:w="1621" w:type="dxa"/>
            <w:shd w:val="clear" w:color="auto" w:fill="auto"/>
          </w:tcPr>
          <w:p w:rsidR="002D58D6" w:rsidRPr="002D58D6" w:rsidRDefault="00C5733A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1๕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ส่วนที่ ๓  รายละเอียด / โครงการ / กิจกรรม / มาตรการ 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มิติที่ ๑ การสร้างสังคมที่ไม่ทนต่อการทุจริต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C5733A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1๗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มิติที่ ๒ การบริหารราชการเพื่อป้องกันการทุจริต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C5733A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3๓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มิติที่ ๓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C5733A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5๖</w:t>
            </w:r>
          </w:p>
        </w:tc>
      </w:tr>
      <w:tr w:rsidR="002D58D6" w:rsidRPr="002D58D6" w:rsidTr="00201421">
        <w:tc>
          <w:tcPr>
            <w:tcW w:w="7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มิติที่ ๔ การเสริมสร้างและปรับปรุงกลไกในการตรวจสอบการปฏิบัติราชการ</w:t>
            </w:r>
          </w:p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  <w:tc>
          <w:tcPr>
            <w:tcW w:w="1621" w:type="dxa"/>
            <w:shd w:val="clear" w:color="auto" w:fill="auto"/>
          </w:tcPr>
          <w:p w:rsidR="002D58D6" w:rsidRPr="002D58D6" w:rsidRDefault="002D58D6" w:rsidP="002D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="00C5733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</w:tr>
    </w:tbl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D58D6" w:rsidRPr="002D58D6" w:rsidRDefault="002D58D6" w:rsidP="002D58D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  <w:sectPr w:rsidR="002D58D6" w:rsidRPr="002D58D6" w:rsidSect="007508E1">
          <w:headerReference w:type="even" r:id="rId8"/>
          <w:pgSz w:w="11906" w:h="16838"/>
          <w:pgMar w:top="1135" w:right="849" w:bottom="993" w:left="1560" w:header="708" w:footer="708" w:gutter="0"/>
          <w:cols w:space="708"/>
          <w:docGrid w:linePitch="360"/>
        </w:sectPr>
      </w:pPr>
    </w:p>
    <w:p w:rsidR="002D58D6" w:rsidRPr="002D58D6" w:rsidRDefault="002D58D6" w:rsidP="002D58D6">
      <w:pPr>
        <w:shd w:val="clear" w:color="auto" w:fill="C2D69B"/>
        <w:spacing w:after="0"/>
        <w:jc w:val="center"/>
        <w:rPr>
          <w:rFonts w:ascii="TH SarabunIT๙" w:eastAsia="Calibri" w:hAnsi="TH SarabunIT๙" w:cs="TH SarabunIT๙"/>
          <w:b/>
          <w:bCs/>
          <w:sz w:val="44"/>
          <w:szCs w:val="44"/>
          <w:cs/>
        </w:rPr>
      </w:pPr>
      <w:r w:rsidRPr="002D58D6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lastRenderedPageBreak/>
        <w:t>ส่วนที่ 1</w:t>
      </w:r>
    </w:p>
    <w:p w:rsidR="002D58D6" w:rsidRPr="002D58D6" w:rsidRDefault="002D58D6" w:rsidP="00054C3A">
      <w:pPr>
        <w:spacing w:after="0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2D58D6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บทนำ</w:t>
      </w:r>
    </w:p>
    <w:p w:rsidR="002D58D6" w:rsidRPr="002D58D6" w:rsidRDefault="002D58D6" w:rsidP="002D58D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>1.1</w:t>
      </w:r>
      <w:r w:rsidRPr="002D58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โดยการประเมินโอกาสของการทุจริตที่อาจเกิดขึ้น ตลอดจนบุคคลหรือหน่วยงานที่อาจเกี่ยวข้องกับการ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กระทํา</w:t>
      </w:r>
      <w:proofErr w:type="spellEnd"/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ทุจริต เพื่อพิจารณาว่าการควบคุม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และการป้องกันการทุจริตที่มีอยู่ในปัจจุบันมีประสิทธิภาพและประสิทธิผลหรือไม่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ได้แก่การกระจาย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อํานาจ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ลงสู่องค์กรปกครองส่วนท้องถิ่น แม้ว่าโดยหลักการแล้วการกระจาย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อํานาจ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มีวัตถุประสงค์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สําคัญ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เพื่อให้บริการต่างๆ ของรัฐสามารถตอบสนองต่อความต้องการของชุมชนมากขึ้น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มีประสิทธิภาพมากขึ้นแต่ในทางปฏิบัติ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1.1.2 แนวคิด และทฤษฎีที่เกี่ยวข้องกับการทุจริต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ทฤษฎีสามเหลี่ยมของการทุจริต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อุษณา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ภัทรมนตรี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, 2552:12-9)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อธิบายถึงแนวคิดทฤษฎีในการศึกษาด้านการทุจริตที่นิยมอ้างอิง คือ สามเหลี่ยมของการทุจริต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Fraud Triangle)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ของ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Donald R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</w:rPr>
        <w:t>Cressey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ในทศวรรษ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1980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ที่ว่าการทุจริตมีโอกาสจะเกิดสูงหากมีเหตุการณ์หรือปัจจัยเสี่ยงการทุจริตเกิดขึ้นทั้ง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ด้าน คือ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1.1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มีความกดดันหรือแรงจูงใจ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Pressure or Incentive)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ผู้ทุจริตมีความกดดันหรือมีแรงจูงใจให้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กระทํา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ทุจริตซึ่งอาจเกิดจาก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(1)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ความกดดันในการปฏิบัติงาน เช่น กิจการ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กําหนด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และเป้าหมายโดยใช้ตัวชี้วัดผลลัพธ์ทางการเงินระยะสั้น เช่น ยอดขาย ผล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กําไร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ฯลฯ สูงเกินไป และหากไม่ได้จะถูกลงโทษ มักเป็นความกดดันให้ทุจริตโดยการแก้ไขรายงานและตัวเลขบัญชี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(2)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ความกดดันและแรงจูงใจส่วนตัว เช่น ความเดือนร้อนทางการเงินเฉพาะหน้าหรือจากอุปนิสัยส่วนตัว เช่น ติดการพนัน สุรุ่ยสุร่าย หรือเป็นคนฉลาดชอบความท้าทาย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1.2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มีโอกาสในการ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กระทํา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ผิด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Opportunity)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ได้แก่ โอกาสในการ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กระทํา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ทุจริตโอกาสที่จะปกปิดการ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กระทํา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และโอกาสที่จะแปลงสภาพทรัพย์สินที่ได้จากการทุจริต โอกาสในการกระทำผิดเกิดจากจุดอ่อนในการควบคุมภายในที่จะป้องกันและค้นพบการทุจริตให้ทันกาล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การควบคุมแบบป้องกัน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เช่น ขาดการแบ่งแยกหน้าที่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มีความเสี่ยงต่อความเสียหายขององค์กรที่มี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สาระสําคัญ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การละเมิดหรือยกเว้นการควบคุมไม่ต้องได้รับการตรวจสอบ ขาดการควบคุมการเข้าถึงทรัพย์สินสภาพคล่อง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และระบบสารสนเทศ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สําคัญ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ส่วนการควบคุมแบบค้นพบ เช่น ไม่มีระบบร่องรอยการตรวจสอบ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Audit Trail)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ให้สามารถ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ความผิดได้โดยไร้ร่องรอย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หรือตรวจพบยาก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ไม่มีระบบการควบคุมแบบอัตโนมัติ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หรือค้นพบได้ในเวลา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เกิดจริง ไม่มีการตรวจนับทรัพย์สิน และการกระทบยอดบัญชี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สําคัญ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ทุกเดือน เป็นต้น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1.3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มีข้ออ้างหรือเหตุผลที่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ผู้กระทํา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มีความรู้สึกดีขึ้น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Rationale)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เช่น อ้างด้าน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ความ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จําเป็น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เดือดร้อนส่วนตัว อ้างว่าเป็นประเพณีทางธุรกิจ ไม่ทราบว่าเป็นความผิด เพราะเป็นสิ่งที่ใครๆ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ก็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หรืออ้างว่า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เพื่อประโยชน์ส่วนรวม เช่น ตกแต่งงบการเงินให้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กําไร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เพื่อให้ผู้ถือหุ้นพอใจเพราะได้รับ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เงินปันผล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และราคาหุ้นสูง หรืออ้างว่าทำเพื่อไม่ให้กิจการล้มละลาย เป็นต้น</w:t>
      </w:r>
    </w:p>
    <w:p w:rsidR="002D58D6" w:rsidRDefault="00054C3A" w:rsidP="00054C3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-๒-</w:t>
      </w:r>
    </w:p>
    <w:p w:rsidR="00054C3A" w:rsidRPr="002D58D6" w:rsidRDefault="00054C3A" w:rsidP="00054C3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D58D6" w:rsidRPr="002D58D6" w:rsidRDefault="002D58D6" w:rsidP="002D58D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1.1.3 ลักษณะการทุจริตขององค์กรปกครองส่วนท้องถิ่น </w:t>
      </w:r>
      <w:proofErr w:type="spellStart"/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จําแนก</w:t>
      </w:r>
      <w:proofErr w:type="spellEnd"/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เป็น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 ดังนี้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1)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การทุจริตด้านงบประมาณ การ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2)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3)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2D58D6" w:rsidRPr="002D58D6" w:rsidRDefault="002D58D6" w:rsidP="00054C3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4)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ขาดคุณธรรมจริยธรรม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5)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6)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7)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อํานาจ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บารมี และอิทธิพลท้องถิ่น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1.1.4 สาเหตุและปัจจัยที่</w:t>
      </w:r>
      <w:proofErr w:type="spellStart"/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นําไปสู่</w:t>
      </w:r>
      <w:proofErr w:type="spellEnd"/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การทุจริตขององค์กรปกครองส่วนท้องถิ่น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1)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โอกาส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ให้เกิดโอกาสของการ</w:t>
      </w:r>
      <w:r w:rsidR="002F37F1">
        <w:rPr>
          <w:rFonts w:ascii="TH SarabunIT๙" w:eastAsia="Calibri" w:hAnsi="TH SarabunIT๙" w:cs="TH SarabunIT๙"/>
          <w:sz w:val="32"/>
          <w:szCs w:val="32"/>
          <w:cs/>
        </w:rPr>
        <w:t xml:space="preserve">ทุจริต </w:t>
      </w:r>
      <w:proofErr w:type="gramStart"/>
      <w:r w:rsidR="002F37F1">
        <w:rPr>
          <w:rFonts w:ascii="TH SarabunIT๙" w:eastAsia="Calibri" w:hAnsi="TH SarabunIT๙" w:cs="TH SarabunIT๙"/>
          <w:sz w:val="32"/>
          <w:szCs w:val="32"/>
          <w:cs/>
        </w:rPr>
        <w:t>ซึ่งโอกาสดังกล่าว</w:t>
      </w:r>
      <w:proofErr w:type="spellStart"/>
      <w:r w:rsidR="002F37F1">
        <w:rPr>
          <w:rFonts w:ascii="TH SarabunIT๙" w:eastAsia="Calibri" w:hAnsi="TH SarabunIT๙" w:cs="TH SarabunIT๙"/>
          <w:sz w:val="32"/>
          <w:szCs w:val="32"/>
          <w:cs/>
        </w:rPr>
        <w:t>เกิดขึ้</w:t>
      </w:r>
      <w:proofErr w:type="spellEnd"/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จากการบังคับใช้กฎหมายที่ไม่เข้มแข็ง</w:t>
      </w:r>
      <w:proofErr w:type="gram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กฎหมาย กฎระเบียบไม่รัดกุม และ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อํานาจ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หน้าที่โดยเฉพาะข้าราชการระดับสูงก็เป็นอีกโอกาสหนึ่งที่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ให้เกิดการทุจริต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2)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สิ่งจูงใจ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ให้คนในปัจจุบันมุ่งเน้นที่การสร้างความร่ำรวย </w:t>
      </w:r>
      <w:proofErr w:type="gram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ด้วยเหตุนี้จึงเป็นแรงจูงใจให้เจ้าหน้าที่มีแนวโน้มที่จะ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="00F624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การทุจริตมากยิ่งขึ้น</w:t>
      </w:r>
      <w:proofErr w:type="gramEnd"/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3)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gram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การทุจริตในปัจจุบันมีรูปแบบที่ซับซ้อนขึ้นโดยเฉพาะการทุจริตในเชิงนโยบาย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ให้การทุจริตกลายเป็นความชอบธรรมในสายตาของประชาชน</w:t>
      </w:r>
      <w:proofErr w:type="gram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ของบุคคลเหล่านี้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4)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การผูกขาด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ในบางกรณีการ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ดําเนินงาน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แก่เจ้าหน้าที่เพื่อให้ตนเองได้รับสิทธิในการ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ดําเนินงาน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โครงการของภาครัฐ รูปแบบของการผูกขาด ได้แก่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การผูกขาดในโครงการก่อสร้างและโครงสร้างพื้นฐานภาครัฐ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5)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ให้เจ้าหน้าที่ต้องแสวงหาช่องทางเพื่อเพิ่ม </w:t>
      </w:r>
      <w:r w:rsidRPr="002D58D6">
        <w:rPr>
          <w:rFonts w:ascii="TH SarabunIT๙" w:eastAsia="Calibri" w:hAnsi="TH SarabunIT๙" w:cs="TH SarabunIT๙"/>
          <w:sz w:val="32"/>
          <w:szCs w:val="32"/>
        </w:rPr>
        <w:t>“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รายได้พิเศษ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ให้กับตนเองและครอบครัว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6)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การเน้นเป็นพิเศษถือว่าเป็นเครื่องวัดความดีของคน แต่ในปัจจุบันพบว่าคนมีความละอายต่อบาปและเกรงกลัวบาปน้อยลง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5F740C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7)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</w:t>
      </w:r>
      <w:proofErr w:type="gram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คนที่มีความซื่อสัตย์สุจริต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เป็นยกย่องคนที่มีเงิน</w:t>
      </w:r>
      <w:proofErr w:type="gram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คนที่เป็นเศรษฐี มหาเศรษฐี คนที่มี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ตําแหน่ง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หน้าที่การงานสูง ด้วยเหตุนี้ </w:t>
      </w:r>
    </w:p>
    <w:p w:rsidR="005F740C" w:rsidRDefault="005F740C" w:rsidP="005F740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-๓-</w:t>
      </w:r>
    </w:p>
    <w:p w:rsidR="005F740C" w:rsidRDefault="002D58D6" w:rsidP="005F740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คนฉลาด ย่อมจะ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</w:t>
      </w:r>
    </w:p>
    <w:p w:rsidR="002D58D6" w:rsidRPr="002D58D6" w:rsidRDefault="002D58D6" w:rsidP="005F74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บ้านเมือง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1.๒</w:t>
      </w:r>
      <w:r w:rsidRPr="002D58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หลักการและเหตุผล          </w:t>
      </w:r>
    </w:p>
    <w:p w:rsidR="002D58D6" w:rsidRPr="002D58D6" w:rsidRDefault="002D58D6" w:rsidP="005F74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ปัจจุบันปัญหาการทุจริตคอร์รัปชั่นในประเทศไทยถือเป็นปัญหาเรื้อรังที่นับวันยิ่งจะทวี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เป็นปัญหา 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มักถูกมองจาก ภายนอกสังคมว่าเป็นองค์กรที่เอื้อต่อการทุจริตคอร์รัปชั่นและมักจะปรากฏข่าวการทุจริต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ตามสื่อและรายงานของทางราชการอยู่เสมอ ซึ่งได้ส่งผลสะเทือนต่อกระแสการกระจายอำนาจและ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สอดคล้องกับการจัดอันดับดัชนีชี้วัดภาพลักษณ์คอร์รัปชั่น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Corruption Perception Index – CPI)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ซึ่งเป็นเครื่องมือที่ใช้ประเมินการทุจริตคอร์รัปชั่นทั่วโลกที่จัดโดยองค์กรเพื่อความโปร่งใส</w:t>
      </w:r>
      <w:r w:rsidRPr="002D58D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นานาชาติ (</w:t>
      </w:r>
      <w:r w:rsidRPr="002D58D6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Transparency International – IT) </w:t>
      </w:r>
      <w:r w:rsidRPr="002D58D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พบว่า ผลคะแนนของประเทศไทยระหว่างปี ๒๕๕๕</w:t>
      </w:r>
      <w:r w:rsidRPr="002D58D6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– </w:t>
      </w:r>
      <w:r w:rsidRPr="002D58D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๒๕๕๘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อยู่ที่ ๓๕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๓๘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คะแนน จากคะแนนเต็ม ๑๐๐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โดยในปี ๒๕๕๘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อยู่อันดับที่ ๗๖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จาก ๑๖๘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ประเทศทั่วโลก และเป็นอันดับที่ ๓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ภูมิภาคเอเชียตะวันออกเฉียงใต้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รองจากประเทศสิงคโปร์และประเทศมาเลเซีย และล่าสุดพบว่าผลคะแนนของประเทศไทยปี ๒๕๕๙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ลดลง ๓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คะแนน จากปี ๒๕๕๘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ได้ลำดับที่ ๑๐๑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จาก ๑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ประเทศ</w:t>
      </w:r>
      <w:r w:rsidRPr="002D58D6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footnoteReference w:id="1"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ซึ่งสามารถสะท้อนให้เห็นว่าประเทศไทยเป็นประเทศที่มีปัญหาการคอร์รัปชั่นอยู่ในระดับสูง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ยุทธศาสตร์ชาติว่าด้วยการป้องกันและปราบปรามการทุจริตที่ใช้อยู่เป็นฉบับที่ ๓ เริ่มจากปี พ.ศ. ๒๕๖๐ จนถึงปี พ.ศ. ๒๕๖๔ ซึ่งมุ่งสู่การเป็นประเทศที่มีมาตรฐานทางคุณธรรมจริยธรรม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เกียรติภูมิในด้านความโปร่งใสทัดเทียมนานาอารยประเทศ โดยกำหนดวิสัยทัศน์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“ประเทศไทยใสสะอาด ไทยทั้งชาติต้านทุจริต”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มีเป้าหมายหลักเพื่อให้ประเทศไทยได้รับการประเมิน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ดัชนีการรับรู้การทุจริต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 ๕๐ ในปี พ.ศ. ๒๕๖๔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 สูงขึ้นได้นั้น การบริหารงานภาครัฐต้องมีระดับ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 พฤติกรรมแตกต่างจากที่เป็นอยู่ในปัจจุบัน ไม่ใช้ตำแหน่งหน้าที่ในทางทุจริตประพฤติ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มิชอบ โดยได้กำหนดยุทธศาสตร์การดำเนินงานหลักออกเป็น ๖ ยุทธศาสตร์ ดังนี้ 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 ๑  สร้างสังคมที่ไม่ทนต่อการทุจริต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 ๒  ยกระดับเจตจำนงทางการเมืองในการต่อต้านการทุจริต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 ๓  สกัดกั้นการทุจริตเชิงนโยบาย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 ๔  พัฒนาระบบป้องกันการทุจริตเชิงรุก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 ๕  ปฏิรูปกลไกและกระบวนการปราบปรามการทุจริต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๖ 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Corruption Perception Index : CPI) </w:t>
      </w:r>
    </w:p>
    <w:p w:rsidR="00A1687D" w:rsidRDefault="00A1687D" w:rsidP="00A1687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-๔-</w:t>
      </w:r>
    </w:p>
    <w:p w:rsidR="00A1687D" w:rsidRDefault="00A1687D" w:rsidP="00A1687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05F91" w:rsidRDefault="002D58D6" w:rsidP="00405F91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ที่ ๓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พ.ศ. ๒๕๖๐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 -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๒๕๖๔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405F91" w:rsidRPr="00405F9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เทศบาลตำบลสวนผึ้ง</w:t>
      </w:r>
      <w:r w:rsidRPr="002D58D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จึงได้ตระหนักและให้ความสำคัญกับการบริหาร จัดการที่มีความโปร่งใส สร้างค่านิยม วัฒนธรรมสุจริตให้เกิดในสังคมอย่างยั่งยืน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จึงได้ดำเนินการจัดทำ แผนปฏิบัติการป้องกันการทุจริต </w:t>
      </w:r>
    </w:p>
    <w:p w:rsidR="002D58D6" w:rsidRPr="002D58D6" w:rsidRDefault="002D58D6" w:rsidP="00405F9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>(พ.ศ. ๒๕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>๖๒</w:t>
      </w:r>
      <w:r w:rsidRPr="002D58D6">
        <w:rPr>
          <w:rFonts w:ascii="TH SarabunIT๙" w:eastAsia="Calibri" w:hAnsi="TH SarabunIT๙" w:cs="TH SarabunIT๙"/>
          <w:sz w:val="32"/>
          <w:szCs w:val="32"/>
        </w:rPr>
        <w:t>-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 ต่าง ๆ ที่เป็นรูปธรรมอย่างชัดเจน อันจะนำไปสู่การปฏิบัติอย่างมีประสิทธิภาพ บรรลุวัตถุประสงค์และ เป้าหมายของการป้องกันและปราบปรามการทุจริตอย่างแท้จริง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สำนักงาน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ได้รวบรวมสถิติการกล่าวหาเจ้าหน้าที่ของรัฐในสังกัด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ว่ากระทำ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การทุจริตตั้งแต่ปี</w:t>
      </w:r>
      <w:r w:rsidR="00405F9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2551 – 2560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รวม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10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ปี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พบว่าบุคลากรของ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หมายถึง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ผู้บริหารท้องถิ่นสมาชิกสภาท้องถิ่น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พนักงานท้องถิ่น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ถูกกล่าวหาว่ากระทำการทุจริต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รวมทั้งสิ้น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24,791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เรื่อง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มีผู้ถูกกล่าวหา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13,501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</w:t>
      </w:r>
      <w:r w:rsidRPr="002D58D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ถูกกล่าวหาว่าทุจริตมากที่สุดดังตาราง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610"/>
        <w:gridCol w:w="3437"/>
      </w:tblGrid>
      <w:tr w:rsidR="002D58D6" w:rsidRPr="002D58D6" w:rsidTr="00201421">
        <w:trPr>
          <w:jc w:val="center"/>
        </w:trPr>
        <w:tc>
          <w:tcPr>
            <w:tcW w:w="724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10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437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ถูกกล่าวหาว่ากระทำการทุจริต/เรื่อง</w:t>
            </w:r>
          </w:p>
        </w:tc>
      </w:tr>
      <w:tr w:rsidR="002D58D6" w:rsidRPr="002D58D6" w:rsidTr="00201421">
        <w:trPr>
          <w:jc w:val="center"/>
        </w:trPr>
        <w:tc>
          <w:tcPr>
            <w:tcW w:w="724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3437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789</w:t>
            </w:r>
          </w:p>
        </w:tc>
      </w:tr>
      <w:tr w:rsidR="002D58D6" w:rsidRPr="002D58D6" w:rsidTr="00201421">
        <w:trPr>
          <w:jc w:val="center"/>
        </w:trPr>
        <w:tc>
          <w:tcPr>
            <w:tcW w:w="724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เทศบาล</w:t>
            </w: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437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D58D6" w:rsidRPr="002D58D6" w:rsidTr="00201421">
        <w:trPr>
          <w:jc w:val="center"/>
        </w:trPr>
        <w:tc>
          <w:tcPr>
            <w:tcW w:w="724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3437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 w:rsidRPr="002D58D6">
              <w:rPr>
                <w:rFonts w:ascii="TH SarabunIT๙" w:eastAsia="Calibri" w:hAnsi="TH SarabunIT๙" w:cs="TH SarabunIT๙"/>
                <w:sz w:val="32"/>
                <w:szCs w:val="32"/>
              </w:rPr>
              <w:t>818</w:t>
            </w:r>
          </w:p>
        </w:tc>
      </w:tr>
      <w:tr w:rsidR="002D58D6" w:rsidRPr="002D58D6" w:rsidTr="00201421">
        <w:trPr>
          <w:jc w:val="center"/>
        </w:trPr>
        <w:tc>
          <w:tcPr>
            <w:tcW w:w="724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</w:p>
        </w:tc>
        <w:tc>
          <w:tcPr>
            <w:tcW w:w="3437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1,275</w:t>
            </w:r>
          </w:p>
        </w:tc>
      </w:tr>
      <w:tr w:rsidR="002D58D6" w:rsidRPr="002D58D6" w:rsidTr="00201421">
        <w:trPr>
          <w:jc w:val="center"/>
        </w:trPr>
        <w:tc>
          <w:tcPr>
            <w:tcW w:w="724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3437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879</w:t>
            </w:r>
          </w:p>
        </w:tc>
      </w:tr>
      <w:tr w:rsidR="002D58D6" w:rsidRPr="002D58D6" w:rsidTr="00201421">
        <w:trPr>
          <w:jc w:val="center"/>
        </w:trPr>
        <w:tc>
          <w:tcPr>
            <w:tcW w:w="724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เทศบาลนคร</w:t>
            </w:r>
          </w:p>
        </w:tc>
        <w:tc>
          <w:tcPr>
            <w:tcW w:w="3437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626</w:t>
            </w:r>
          </w:p>
        </w:tc>
      </w:tr>
      <w:tr w:rsidR="002D58D6" w:rsidRPr="002D58D6" w:rsidTr="00201421">
        <w:trPr>
          <w:jc w:val="center"/>
        </w:trPr>
        <w:tc>
          <w:tcPr>
            <w:tcW w:w="724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เมืองพัทยา</w:t>
            </w:r>
          </w:p>
        </w:tc>
        <w:tc>
          <w:tcPr>
            <w:tcW w:w="3437" w:type="dxa"/>
            <w:shd w:val="clear" w:color="auto" w:fill="auto"/>
          </w:tcPr>
          <w:p w:rsidR="002D58D6" w:rsidRPr="002D58D6" w:rsidRDefault="002D58D6" w:rsidP="002D58D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58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54</w:t>
            </w:r>
          </w:p>
        </w:tc>
      </w:tr>
    </w:tbl>
    <w:p w:rsidR="002D58D6" w:rsidRPr="002D58D6" w:rsidRDefault="002D58D6" w:rsidP="002D58D6">
      <w:pPr>
        <w:spacing w:after="0" w:line="240" w:lineRule="auto"/>
        <w:ind w:firstLine="720"/>
        <w:rPr>
          <w:rFonts w:ascii="TH SarabunIT๙" w:eastAsia="Calibri" w:hAnsi="TH SarabunIT๙" w:cs="TH SarabunIT๙"/>
          <w:i/>
          <w:iCs/>
          <w:sz w:val="18"/>
          <w:szCs w:val="18"/>
        </w:rPr>
      </w:pPr>
    </w:p>
    <w:p w:rsidR="002D58D6" w:rsidRPr="002D58D6" w:rsidRDefault="002D58D6" w:rsidP="002D58D6">
      <w:pPr>
        <w:spacing w:after="0" w:line="240" w:lineRule="auto"/>
        <w:ind w:firstLine="720"/>
        <w:rPr>
          <w:rFonts w:ascii="TH SarabunIT๙" w:eastAsia="Calibri" w:hAnsi="TH SarabunIT๙" w:cs="TH SarabunIT๙"/>
          <w:i/>
          <w:iCs/>
          <w:sz w:val="32"/>
          <w:szCs w:val="32"/>
          <w:cs/>
        </w:rPr>
      </w:pPr>
      <w:r w:rsidRPr="002D58D6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ตารางที่ 1 แสดงการกล่าวหาว่ากระทำการทุจริต(25</w:t>
      </w:r>
      <w:r w:rsidRPr="002D58D6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>51</w:t>
      </w:r>
      <w:r w:rsidRPr="002D58D6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-25</w:t>
      </w:r>
      <w:r w:rsidRPr="002D58D6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>60)</w:t>
      </w:r>
    </w:p>
    <w:p w:rsidR="002D58D6" w:rsidRPr="002D58D6" w:rsidRDefault="002D58D6" w:rsidP="002D58D6">
      <w:pPr>
        <w:spacing w:after="0" w:line="240" w:lineRule="auto"/>
        <w:ind w:firstLine="720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2D58D6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>ที่มา</w:t>
      </w:r>
      <w:r w:rsidRPr="002D58D6">
        <w:rPr>
          <w:rFonts w:ascii="TH SarabunIT๙" w:eastAsia="Calibri" w:hAnsi="TH SarabunIT๙" w:cs="TH SarabunIT๙"/>
          <w:i/>
          <w:iCs/>
          <w:sz w:val="32"/>
          <w:szCs w:val="32"/>
        </w:rPr>
        <w:t xml:space="preserve"> : </w:t>
      </w:r>
      <w:r w:rsidRPr="002D58D6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>ศูนย์ประมวลข้อมูลสำนักงาน ป.ป.ช.  (ข้อมูล วันที่ 4 กันยายน 2561)</w:t>
      </w:r>
    </w:p>
    <w:p w:rsidR="002D58D6" w:rsidRPr="002D58D6" w:rsidRDefault="002D58D6" w:rsidP="002D58D6">
      <w:pPr>
        <w:spacing w:after="0" w:line="240" w:lineRule="auto"/>
        <w:ind w:firstLine="720"/>
        <w:rPr>
          <w:rFonts w:ascii="TH SarabunIT๙" w:eastAsia="Calibri" w:hAnsi="TH SarabunIT๙" w:cs="TH SarabunIT๙"/>
          <w:i/>
          <w:iCs/>
          <w:sz w:val="18"/>
          <w:szCs w:val="18"/>
          <w:cs/>
        </w:rPr>
      </w:pPr>
    </w:p>
    <w:p w:rsidR="002D58D6" w:rsidRPr="002D58D6" w:rsidRDefault="002D58D6" w:rsidP="002D58D6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จากงานวิจัย เรื่อง “แนวทางการพัฒนาและเสริมสร้างกลไกการป้องกันการทุจริตใน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ได้สะท้อนสภาพหรือลักษณะปัญหาการทุจริตใน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ซึ่งสามารถแบ่งสภาพหรือลักษณะปัญหาการทุจริต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ใน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ได้ดังนี้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สภาพหรือลักษณะปัญหาการทุจริตที่เกิดจากการทุจริตด้านงบประมาณ การทำบัญชี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  <w:t>การจัดซื้อจัดจ้างและการเงินการคลัง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ส่วนใหญ่พบว่ากระบวนการทุจริตใน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เกี่ยวกับด้านงบประมาณ การทำบัญชี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การจัดซื้อจัดจ้าง และการเงินการคลัง ซึ่งมีสาเหตุมาจากการที่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ละเลยไม่ปฏิบัติหรือไม่ทำตามระเบียบฯ และอ้างว่าไม่ทราบเกี่ยวกับ เรื่องที่มีการให้จัดทำ และไม่จัดทำซึ่งเมื่อพิจารณาจากการวิเคราะห์ข้อมูล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ในส่วนเรื่องที่กลุ่ม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ไม่จัดทำอันเป็นผลก่อให้เกิดการทุจริตใน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ดังตัวอย่างเช่น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1)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ไม่ทำทะเบียนยืมเงิน 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14 </w:t>
      </w:r>
    </w:p>
    <w:p w:rsid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2)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ไม่ทำบัญชีคุมรายรับรายจ่ายพัสดุให้เป็นปัจจุบัน 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12 </w:t>
      </w:r>
    </w:p>
    <w:p w:rsidR="0031122D" w:rsidRDefault="0031122D" w:rsidP="0031122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-๕-</w:t>
      </w:r>
    </w:p>
    <w:p w:rsidR="0031122D" w:rsidRPr="002D58D6" w:rsidRDefault="0031122D" w:rsidP="0031122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3)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ไม่มีการทำหลักฐานในการเบิกจ่ายพัสดุ 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13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4)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ไม่มีการทำการลงบัญชีรายรับรายจ่าย 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11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5)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ไม่มีการทำรายงานแสดงรายรับรายจ่ายและงบทดลองเป็นรายเดือน 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15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6)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ไม่มีการแต่งตั้งเจ้าหน้าที่ตรวจรับพัสดุ ตรวจสอบพัสดุ และเจ้าหน้าที่ตรวจสอบพัสดุประจำปี 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12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7)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ไม่จัดให้มีการแต่งตั้งผู้แทนชุมชน หรือผู้แทนประชาคมเข้าร่วมเป็นคณะกรรมการตรวจรับพัสดุ หรือจัดให้มีก็เป็นการแต่งตั้งคนหน้าเดิมๆ ในการตรวจรับงานจ้าง 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6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8)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ที่สมาชิกสภาท้องถิ่น หรือผู้บริหารท้องถิ่น มีญาติมารับเหมาเกี่ยวกับการจัดซื้อ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จัดจ้างใน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11.5 </w:t>
      </w:r>
    </w:p>
    <w:p w:rsidR="002D58D6" w:rsidRPr="002D58D6" w:rsidRDefault="002D58D6" w:rsidP="002D756E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  <w:t xml:space="preserve">9)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ได้แต่งตั้งประชาชนเข้ามาเป็นกรรมการจัดซื้อจัดจ้าง ตรวจรับงานจ้างบางส่วน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34.7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ยังไม่เป็นที่ยอมรับของประชาชนและทุกฝ่าย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สภาพหรือลักษณะปัญหาของการทุจริตที่เกิดจากตัวบุคคล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ข้อมูลตัวเลขจากการสำรวจพบว่า การทุจริตเกิดจากตัวบุคคล โดยเฉพาะผู้บริหารท้องถิ่น และสมาชิกสภาท้องถิ่นบางส่วน ปรากฏว่า 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มีญาติหรือพวกพ้องมาเป็นผู้รับเหมาการจัดซื้อจัดจ้าง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ที่มีการเอื้อประโยชน์ให้พวกพ้องหรือกลุ่มญาติของตัวเอง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35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บุคคลที่เป็นพนักงานท้องถิ่น กับผู้บริหารท้องถิ่นซึ่งบางส่วนใช้ตำแหน่งของตนแสวงหาผลประโยชน์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บุคลากรของ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มีการเก็บรายได้แล้วไม่ส่งคลัง หรือว่ามีการแก้ไขหลักฐานการเงิน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บุคลากรและผู้บริหารท้องถิ่นบางส่วนมีการจ่ายเงินของการคลังโดยไม่มีหลักฐาน เช่น การเขียนเติมจำนวนเงิน หรือการรับเงินเก็บภาษี รับเงินเก็บค่าขยะ เก็บเงินมาแล้วก็ไม่นำส่งให้คลัง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ซึ่งเมื่อมีการกระทำอย่างเป็นประจำ หรือบางทีพอเก็บเงินได้มากๆ ก็ไม่นำส่งหรือมีการหนีไป หรือส่วนหนึ่งเจ้าหน้าที่คลังมีการปลอมเช็คตลอดจนการนำของหลวงหรือของทางราชการไปใช้เป็นการส่วนตัว ตลอดจน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การปิดบังข้อมูลข่าวสารแก่ประชาชน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3.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สภาพหรือลักษณะปัญหาของการทุจริตที่เกิดจากช่องว่างของระเบียบและกฎหมาย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ในส่วนช่องว่างของกฎหมายและระเบียบต่างๆ มุ่งวิเคราะห์ระบบตรวจสอบและระบบโครงสร้างของ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เอง ซึ่งผู้ให้ข้อมูลส่วนใหญ่ ระบุว่า ระบบการตรวจสอบของ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สตง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ไม่ทั่วถึง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14.3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ตอบว่า กฎหมายเปิดช่องว่างให้มีการทุจริตได้ โดยมีการให้สังเกตโครงสร้าง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ตามรัฐธรรมนูญ ปี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และในกฎหมาย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ให้ผู้บริหารท้องถิ่นมีความเข้มแข็งเพื่อให้อยู่ใน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ตำแหน่งตลอด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ปี ซึ่งในกรณีที่สมาชิกสภาท้องถิ่น เป็นทีมเดียวกับผู้บริหาร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ทั้งหมดก็จะเป็นช่องทาง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ให้ทุจริตได้ เพราะระบบถ่วงดุลขาดความเข้มแข็ง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สภาพหรือลักษณะปัญหาของการทุจริตที่เกิดการขาดความรู้ความเข้าใจและขาดคุณธรรม จริยธรรม</w:t>
      </w:r>
    </w:p>
    <w:p w:rsidR="00C97F4E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จากการศึกษาค้นคว้าพบว่ามีบาง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ที่มีขนาดเล็ก มีพนักงานท้องถิ่นที่ได้บรรจุเข้า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รับราชการโดยมีวุฒิการศึกษาตั้งแต่ระดับ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ปวช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ขึ้นไป และผ่านการนิเทศงานมาน้อยหรือไม่มีความรู้</w:t>
      </w:r>
      <w:r w:rsidRPr="002D58D6">
        <w:rPr>
          <w:rFonts w:ascii="TH SarabunIT๙" w:eastAsia="Calibri" w:hAnsi="TH SarabunIT๙" w:cs="TH SarabunIT๙"/>
          <w:sz w:val="32"/>
          <w:szCs w:val="32"/>
        </w:rPr>
        <w:br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เฉพาะด้านดีพอ เช่น ความรู้ความเข้าใจเกี่ยวกับการกำหนดราคากลาง หรือการจัดซื้อจัดจ้างตามระเบียบ</w:t>
      </w:r>
    </w:p>
    <w:p w:rsidR="00C97F4E" w:rsidRDefault="00C97F4E" w:rsidP="00C97F4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-๖-</w:t>
      </w:r>
    </w:p>
    <w:p w:rsidR="00C97F4E" w:rsidRDefault="00C97F4E" w:rsidP="00C97F4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D58D6" w:rsidRPr="002D58D6" w:rsidRDefault="002D58D6" w:rsidP="00C97F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และส่วนหนึ่ง พบว่าหัวหน้าส่วนการคลังไม่ได้มีความรู้ทางด้านการพัสดุในทางปฏิบัติ เมื่อปฏิบัติไปก็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>มี ความเสี่ยง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ในการถูกตรวจสอบและผิดวินัย หรือ บุคลากรของ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ขาดความรู้ความเข้าใจโดยเฉพาะเจ้าหน้าที่ของ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.กับเทศบาลตำบล ที่ยกฐานะมาจากสุขาภิบาล ตลอดจนส่วนหนึ่งผู้บริหารท้องถิ่นแล</w:t>
      </w:r>
      <w:r w:rsidR="00C97F4E">
        <w:rPr>
          <w:rFonts w:ascii="TH SarabunIT๙" w:eastAsia="Calibri" w:hAnsi="TH SarabunIT๙" w:cs="TH SarabunIT๙"/>
          <w:sz w:val="32"/>
          <w:szCs w:val="32"/>
          <w:cs/>
        </w:rPr>
        <w:t>ะพนักงานท้องถิ่นมีพฤติกรรมแสวงห</w:t>
      </w:r>
      <w:r w:rsidR="00C97F4E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ผลประโยชน์โดยอาศัยช่องโหว่ของกฎหมายแสดงให้เห็นถึงการไม่มีคุณธรรม จริยธรรม โดยสรุปผู้บริหารท้องถิ่นและเจ้าหน้าที่ของ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ที่ขาดความรู้ความเข้าใจในหลักการบริหารท้องถิ่น ข้อกฎหมาย กฎระเบียบ ข้อบังคับ คำสั่งต่าง ๆจำเป็นต้องมีการเพิ่มพูนความรู้และควรรู้เพราะถ้าบางส่วนไม่มีความรู้ความเข้าใจเป็นผลทำให้ปฏิบัติเกี่ยวกับระเบียบผิดพลาดได้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สภาพหรือลักษณะปัญหาของการทุจริตที่เกิดจากขาดการประชาสัมพันธ์ให้ประชาชนทราบ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จากการศึกษาค้นคว้า พบว่า มี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ส่วนหนึ่งไม่ชี้แจงประชาสัมพันธ์เกี่ยวกับข้อมูลข่าวสารของ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ต่างๆ ให้ประชาชนทราบ เช่น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ไม่แจ้งงบประมาณของ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ให้ประชาชนทราบและไม่ส่งข่าวสารทางราชการ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ให้ประชาชนทราบ</w:t>
      </w:r>
    </w:p>
    <w:p w:rsidR="002D58D6" w:rsidRPr="002D58D6" w:rsidRDefault="002D58D6" w:rsidP="00C46E6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</w:rPr>
        <w:tab/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ไม่มีการประกาศในช่องทางการสื่อสารให้ประชาชนทราบในการดำเนินงานโครงการและกิจกรรมต่างๆ ไม่มีการประกาศการดำเนินกิจกรรมและงบประมาณให้ชาวบ้านทราบเช่นกันร้อยละ 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75.6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บุคลากรใน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ไม่ทราบว่า ปัจจุบ</w:t>
      </w:r>
      <w:r w:rsidR="00C46E68">
        <w:rPr>
          <w:rFonts w:ascii="TH SarabunIT๙" w:eastAsia="Calibri" w:hAnsi="TH SarabunIT๙" w:cs="TH SarabunIT๙"/>
          <w:sz w:val="32"/>
          <w:szCs w:val="32"/>
          <w:cs/>
        </w:rPr>
        <w:t>ันมีเงินงบประมาณหรือเงินในบัญชี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มีจำนวนเท่าไร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 </w:t>
      </w:r>
    </w:p>
    <w:p w:rsidR="002D58D6" w:rsidRPr="002D58D6" w:rsidRDefault="002D58D6" w:rsidP="00C46E68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จากการศึกษาพบว่าผู้ตรวจสอบ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ที่เป็น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สตง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เพียงหน่วยงานเดียวมีกำลังคนไม่เพียงพอ </w:t>
      </w:r>
      <w:r w:rsidRPr="002D58D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และ </w:t>
      </w:r>
      <w:proofErr w:type="spellStart"/>
      <w:r w:rsidRPr="002D58D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สตง</w:t>
      </w:r>
      <w:proofErr w:type="spellEnd"/>
      <w:r w:rsidRPr="002D58D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.ส่วนกลาง มีกำลังคนเพียงแต่ไม่สามารถลงไปตรวจได้ทุกพื้นที่ ที่กระทำได้ก็เป็นเพียงเป็นการสุ่ม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ตัวอย่าง</w:t>
      </w:r>
      <w:r w:rsidRPr="002D58D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เท่านั้น ในส่วนของสำนักงาน ป.ป.ช. ก็เช่นเดียวกัน จึงมีข้อเสนอให้ทั้ง</w:t>
      </w:r>
      <w:r w:rsidRPr="002D58D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ป.ป.ช. และ </w:t>
      </w:r>
      <w:proofErr w:type="spellStart"/>
      <w:r w:rsidRPr="002D58D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สตง</w:t>
      </w:r>
      <w:proofErr w:type="spellEnd"/>
      <w:r w:rsidRPr="002D58D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. มีอนุกรรมการ ป.ป.ช.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 และให้จัดตั้งอาสาสมัคร ป.ป.ช. ภาคประชาชนส่วนระบบการตรวจสอบภายในของ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มักพบว่าผู้บริหารท้องถิ่นของ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ไม่ควบคุมดูแลเจ้าหน้าที่ให้ปฏิบัติตามกฎหมาย และระเบียบข้อบังคับต่างๆ อย่างเคร่งครัด และฝ่ายสภาท้องถิ่นของ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. ที่ต้องทำหน้าที่เป็นฝ่ายกำกับดูแลและควบคุม คอยตรวจสอบการทำงานของฝ่ายบริหารของ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ให้ถูกต้องเหมาะสม เพื่อประโยชน์ของประชาชน แต่กลับพบว่าปัจจุบันฝ่ายสภาท้องถิ่น โดยส่วนใหญ่กับกลายเป็นกลุ่มเดียวกับผู้บริหารท้องถิ่น จึงทำให้สมาชิกสภาท้องถิ่นเข้าไปมีส่วนร่วมในการตรวจสอบผู้บริหารท้องถิ่นได้น้อย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สภาพหรือลักษณะปัญหาของการทุจริตที่เกิดจากอำนาจ บารมี อิทธิพล </w:t>
      </w:r>
    </w:p>
    <w:p w:rsid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จากการศึกษาพบว่าใน 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>. บางแห่งยังมีอิทธิพลหรืออำนาจที่ส่งผลให้เกิดการทุจริตได้ โดยเฉพาะอิทธิพลและอำนาจของฝ่ายการเมืองที่ครอบงำ หรือสามารถให้คุณให้โทษต่อเจ้าหน้าที่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หรือข้าราชการท้องถิ่นตลอดจนการใช้อิทธิพลข่มขู่หรือกีดกันผู้เสนอราคารายอื่นๆ การบีบบังคับให้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ผู้มีส่วนเกี่ยวข้องตรวจรับงานโครงการต่างๆ ตลอดจนบางครั้งประชาชนในท้องถิ่นไม่กล้าที่จะให้การเป็นพยาน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เพื่อเอาผิดกับผู้ทุจริต และส่วนหนึ่งวัฒนธรรมที่ฝังรากลึกจิตใจคนในสังคมไทยมานาน เช่น ความเกรงกลัวอิทธิพลการนับถือผู้มีบารมี การสำนึกบุญคุณของผู้มีพระคุณ สิ่งเหล่านี้ทำให้ผู้บริหารท้องถิ่นใช้อำนาจหน้าที่การงานในการแสวงหาผลประโยชน์</w:t>
      </w:r>
    </w:p>
    <w:p w:rsidR="000A4717" w:rsidRDefault="000A4717" w:rsidP="000A471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A4717" w:rsidRDefault="000A4717" w:rsidP="000A471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A4717" w:rsidRDefault="000A4717" w:rsidP="000A471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-๗-</w:t>
      </w:r>
    </w:p>
    <w:p w:rsidR="000A4717" w:rsidRPr="002D58D6" w:rsidRDefault="000A4717" w:rsidP="000A471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D58D6" w:rsidRPr="002D58D6" w:rsidRDefault="002D58D6" w:rsidP="000A471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 ปัญหาที่มีในท้องถิ่น คือ ความสัมพันธ์ที่แข็งแกร่งระหว่างนักการเมืองทั้งในระดับประเทศกับนักการเมืองระดับท้องถิ่น นักการเมืองระดับท้องถิ่นกับนักธุรกิจ กลุ่มผลประโยชน์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และนักการเมืองระดับท้องถิ่นกับข้าราชการ บุคคลกลุ่มนี้ยังมีความเข้มแข็งมากกว่าพลังในการตรวจสอบของภาคประชาชน และภาคประชาสังคมและสิ่งที่ต้องส่งเสริมก็คือ ทำอย่างไรให้ภาคประชาชนมีความเข้มแข็งเพื่อคานอำนาจอิทธิพลได้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1.๓</w:t>
      </w:r>
      <w:r w:rsidRPr="002D58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วัตถุประสงค์ของการจัดทำแผน 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เพื่อยกระดับเจตจำนงทางการเมืองในการต่อต้านการทุจริตของผู้บริหารองค์กรปกครองส่วนท้องถิ่น  </w:t>
      </w:r>
    </w:p>
    <w:p w:rsidR="002D58D6" w:rsidRPr="002D58D6" w:rsidRDefault="002D58D6" w:rsidP="000A4717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๓)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Good Governance) 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๔) เพื่อส่งเสริมบทบาทการมีส่วนร่วม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people's participation)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และตรวจสอบ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People’s audit)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2D58D6" w:rsidRPr="002D58D6" w:rsidRDefault="002D58D6" w:rsidP="00AE6A2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๕) เพื่อพัฒนาระบบ กลไก มาตรการ รวมถึงเครือข่ายในการตรวจสอบการปฏิบัติราชการ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1.๔ เป้าหมาย 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๑) ข้าราชการฝ่ายการเมือง ข้าราชการฝ่ายบริหาร บุคลากรขององค์กรปกครองส่วนท้องถิ่น รวมถึง ประชาชนในท้องถิ่นมีจิตสำนึกและความตระหนักในการปฏิบัติหน้าที่ราชการให้บังเกิดประโยชน์สุข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แก่ ประชาชนท้องถิ่น ปราศจากการก่อให้เกิดข้อสงสัยในการประพฤติปฏิบัติตามมาตรการจริยธรรม 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การขัดกัน แห่งผลประโยชน์และแสวงหาประโยชน์โดยมิชอบ  </w:t>
      </w:r>
    </w:p>
    <w:p w:rsidR="002D58D6" w:rsidRPr="002D58D6" w:rsidRDefault="002D58D6" w:rsidP="00AE6A2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๒) เครื่องมือ/มาตรการการปฏิบัติงานที่สามารถป้องกันปัญหาเกี่ยวกับการทุจริต</w:t>
      </w:r>
      <w:r w:rsidR="00AE6A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และประพฤติมิชอบของข้าราชการ 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 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๔)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  </w:t>
      </w:r>
    </w:p>
    <w:p w:rsidR="002D58D6" w:rsidRPr="002D58D6" w:rsidRDefault="002D58D6" w:rsidP="002D58D6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๕) 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 </w:t>
      </w:r>
    </w:p>
    <w:p w:rsidR="002D58D6" w:rsidRPr="002D58D6" w:rsidRDefault="002D58D6" w:rsidP="002D58D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58D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1.๕ ประโยชน์ของการจัดทำแผน  </w:t>
      </w:r>
    </w:p>
    <w:p w:rsid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๑)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>ในการต่อต้านการทุจริต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Anti-Corruption)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>จากการปลูกฝังหลักคุณธรรม จริยธรรมหลัก</w:t>
      </w:r>
      <w:proofErr w:type="spellStart"/>
      <w:r w:rsidRPr="002D58D6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บาล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รวมถึงหลักเศรษฐกิจพอเพียงที่สามารถนำมาประยุกต์ใช้ในการทำงานและชีวิตประจำวัน </w:t>
      </w:r>
    </w:p>
    <w:p w:rsidR="00AE6A25" w:rsidRDefault="00AE6A25" w:rsidP="00AE6A2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-๘-</w:t>
      </w:r>
    </w:p>
    <w:p w:rsidR="00AE6A25" w:rsidRPr="002D58D6" w:rsidRDefault="00AE6A25" w:rsidP="00AE6A2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>๒) 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2D58D6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2D58D6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มีความโปร่งใส เป็นธรรมและตรวจสอบได้ 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  </w:t>
      </w:r>
    </w:p>
    <w:p w:rsidR="002D58D6" w:rsidRP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๔)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  </w:t>
      </w:r>
    </w:p>
    <w:p w:rsidR="002D58D6" w:rsidRDefault="002D58D6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58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๕) องค์กรปกครองส่วนท้องถิ่นมีแนวทางการบริหารราชการที่มีประสิทธิภาพ ลดโอกาสใน            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 </w:t>
      </w: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2D58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AE6A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AE6A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AE6A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AE6A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AE6A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AE6A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AE6A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AE6A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AE6A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E6A25" w:rsidRDefault="00AE6A25" w:rsidP="00AE6A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sectPr w:rsidR="00AE6A25" w:rsidSect="00054C3A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B5" w:rsidRDefault="003933B5" w:rsidP="002D58D6">
      <w:pPr>
        <w:spacing w:after="0" w:line="240" w:lineRule="auto"/>
      </w:pPr>
      <w:r>
        <w:separator/>
      </w:r>
    </w:p>
  </w:endnote>
  <w:endnote w:type="continuationSeparator" w:id="0">
    <w:p w:rsidR="003933B5" w:rsidRDefault="003933B5" w:rsidP="002D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B5" w:rsidRDefault="003933B5" w:rsidP="002D58D6">
      <w:pPr>
        <w:spacing w:after="0" w:line="240" w:lineRule="auto"/>
      </w:pPr>
      <w:r>
        <w:separator/>
      </w:r>
    </w:p>
  </w:footnote>
  <w:footnote w:type="continuationSeparator" w:id="0">
    <w:p w:rsidR="003933B5" w:rsidRDefault="003933B5" w:rsidP="002D58D6">
      <w:pPr>
        <w:spacing w:after="0" w:line="240" w:lineRule="auto"/>
      </w:pPr>
      <w:r>
        <w:continuationSeparator/>
      </w:r>
    </w:p>
  </w:footnote>
  <w:footnote w:id="1">
    <w:p w:rsidR="002D58D6" w:rsidRPr="00D1291F" w:rsidRDefault="002D58D6" w:rsidP="002D58D6">
      <w:pPr>
        <w:pStyle w:val="a3"/>
        <w:rPr>
          <w:rFonts w:ascii="TH SarabunIT๙" w:hAnsi="TH SarabunIT๙" w:cs="TH SarabunIT๙"/>
          <w:cs/>
        </w:rPr>
      </w:pPr>
      <w:r w:rsidRPr="00D1291F">
        <w:rPr>
          <w:rStyle w:val="a7"/>
          <w:rFonts w:ascii="TH SarabunIT๙" w:hAnsi="TH SarabunIT๙" w:cs="TH SarabunIT๙"/>
        </w:rPr>
        <w:footnoteRef/>
      </w:r>
      <w:r w:rsidRPr="00D1291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จาก </w:t>
      </w:r>
      <w:r>
        <w:rPr>
          <w:rFonts w:ascii="TH SarabunIT๙" w:hAnsi="TH SarabunIT๙" w:cs="TH SarabunIT๙"/>
        </w:rPr>
        <w:t xml:space="preserve">Website </w:t>
      </w:r>
      <w:r w:rsidRPr="00D1291F">
        <w:rPr>
          <w:rFonts w:ascii="TH SarabunIT๙" w:hAnsi="TH SarabunIT๙" w:cs="TH SarabunIT๙"/>
        </w:rPr>
        <w:t>https://www.transparency.org/country/THA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D6" w:rsidRPr="00FA4121" w:rsidRDefault="002D58D6" w:rsidP="00FA4121">
    <w:pPr>
      <w:pStyle w:val="a5"/>
      <w:jc w:val="right"/>
      <w:rPr>
        <w:rFonts w:ascii="TH SarabunIT๙" w:hAnsi="TH SarabunIT๙" w:cs="TH SarabunIT๙"/>
        <w:sz w:val="24"/>
        <w:szCs w:val="32"/>
      </w:rPr>
    </w:pPr>
    <w:r w:rsidRPr="00FA4121">
      <w:rPr>
        <w:rFonts w:ascii="TH SarabunIT๙" w:hAnsi="TH SarabunIT๙" w:cs="TH SarabunIT๙"/>
        <w:sz w:val="24"/>
        <w:szCs w:val="32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6"/>
    <w:rsid w:val="0004114B"/>
    <w:rsid w:val="00054C3A"/>
    <w:rsid w:val="000A4717"/>
    <w:rsid w:val="002D58D6"/>
    <w:rsid w:val="002D756E"/>
    <w:rsid w:val="002E58FC"/>
    <w:rsid w:val="002F37F1"/>
    <w:rsid w:val="0031122D"/>
    <w:rsid w:val="003933B5"/>
    <w:rsid w:val="00405F91"/>
    <w:rsid w:val="004A0422"/>
    <w:rsid w:val="005F740C"/>
    <w:rsid w:val="007508E1"/>
    <w:rsid w:val="00966F73"/>
    <w:rsid w:val="00A1687D"/>
    <w:rsid w:val="00A55197"/>
    <w:rsid w:val="00AE6A25"/>
    <w:rsid w:val="00B8097B"/>
    <w:rsid w:val="00C46E68"/>
    <w:rsid w:val="00C5733A"/>
    <w:rsid w:val="00C97F4E"/>
    <w:rsid w:val="00DF6B8B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8D6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2D58D6"/>
    <w:rPr>
      <w:sz w:val="20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2D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D58D6"/>
  </w:style>
  <w:style w:type="character" w:styleId="a7">
    <w:name w:val="footnote reference"/>
    <w:uiPriority w:val="99"/>
    <w:semiHidden/>
    <w:unhideWhenUsed/>
    <w:rsid w:val="002D58D6"/>
    <w:rPr>
      <w:sz w:val="32"/>
      <w:szCs w:val="32"/>
      <w:vertAlign w:val="superscript"/>
    </w:rPr>
  </w:style>
  <w:style w:type="character" w:styleId="a8">
    <w:name w:val="Hyperlink"/>
    <w:basedOn w:val="a0"/>
    <w:uiPriority w:val="99"/>
    <w:unhideWhenUsed/>
    <w:rsid w:val="00A168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0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097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8D6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2D58D6"/>
    <w:rPr>
      <w:sz w:val="20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2D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D58D6"/>
  </w:style>
  <w:style w:type="character" w:styleId="a7">
    <w:name w:val="footnote reference"/>
    <w:uiPriority w:val="99"/>
    <w:semiHidden/>
    <w:unhideWhenUsed/>
    <w:rsid w:val="002D58D6"/>
    <w:rPr>
      <w:sz w:val="32"/>
      <w:szCs w:val="32"/>
      <w:vertAlign w:val="superscript"/>
    </w:rPr>
  </w:style>
  <w:style w:type="character" w:styleId="a8">
    <w:name w:val="Hyperlink"/>
    <w:basedOn w:val="a0"/>
    <w:uiPriority w:val="99"/>
    <w:unhideWhenUsed/>
    <w:rsid w:val="00A168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0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09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16</cp:revision>
  <cp:lastPrinted>2019-05-31T08:47:00Z</cp:lastPrinted>
  <dcterms:created xsi:type="dcterms:W3CDTF">2019-05-17T03:46:00Z</dcterms:created>
  <dcterms:modified xsi:type="dcterms:W3CDTF">2019-06-05T04:30:00Z</dcterms:modified>
</cp:coreProperties>
</file>